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7F" w:rsidRDefault="00D6627F" w:rsidP="00D6627F">
      <w:pPr>
        <w:pStyle w:val="Szvegtrzs"/>
        <w:pageBreakBefore/>
        <w:jc w:val="center"/>
      </w:pPr>
      <w:bookmarkStart w:id="0" w:name="_GoBack"/>
      <w:bookmarkEnd w:id="0"/>
      <w:r>
        <w:rPr>
          <w:rFonts w:ascii="Arial" w:hAnsi="Arial" w:cs="Arial"/>
          <w:i/>
          <w:iCs/>
          <w:color w:val="800000"/>
          <w:sz w:val="20"/>
          <w:szCs w:val="20"/>
        </w:rPr>
        <w:t>2/a.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m</w:t>
      </w:r>
      <w:r>
        <w:rPr>
          <w:rFonts w:ascii="Arial" w:hAnsi="Arial" w:cs="Arial"/>
          <w:i/>
          <w:iCs/>
          <w:color w:val="800000"/>
          <w:sz w:val="20"/>
          <w:szCs w:val="20"/>
        </w:rPr>
        <w:t>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A szakdolgozatok bírálati útmutatója és bírálati lapja</w:t>
      </w:r>
    </w:p>
    <w:p w:rsidR="00D6627F" w:rsidRDefault="00D6627F" w:rsidP="00D6627F">
      <w:pPr>
        <w:pStyle w:val="Cmsor1"/>
        <w:numPr>
          <w:ilvl w:val="0"/>
          <w:numId w:val="1"/>
        </w:numPr>
        <w:jc w:val="center"/>
        <w:rPr>
          <w:color w:val="000000"/>
          <w:u w:val="single"/>
        </w:rPr>
      </w:pPr>
      <w:r>
        <w:t>Útmutató</w:t>
      </w:r>
      <w:r>
        <w:rPr>
          <w:rFonts w:eastAsia="Arial" w:cs="Arial"/>
        </w:rPr>
        <w:t xml:space="preserve"> </w:t>
      </w:r>
      <w:r>
        <w:t>a</w:t>
      </w:r>
      <w:r>
        <w:rPr>
          <w:rFonts w:eastAsia="Arial" w:cs="Arial"/>
        </w:rPr>
        <w:t xml:space="preserve"> </w:t>
      </w:r>
      <w:r>
        <w:t>szakdolgozatok</w:t>
      </w:r>
      <w:r>
        <w:rPr>
          <w:color w:val="000000"/>
        </w:rPr>
        <w:t xml:space="preserve"> bírálatához</w:t>
      </w:r>
    </w:p>
    <w:p w:rsidR="00D6627F" w:rsidRDefault="00D6627F" w:rsidP="00D6627F">
      <w:pPr>
        <w:jc w:val="both"/>
        <w:rPr>
          <w:color w:val="000000"/>
          <w:u w:val="single"/>
        </w:rPr>
      </w:pPr>
    </w:p>
    <w:p w:rsidR="00D6627F" w:rsidRDefault="00D6627F" w:rsidP="00D6627F">
      <w:pPr>
        <w:jc w:val="both"/>
      </w:pPr>
      <w:r>
        <w:rPr>
          <w:rFonts w:ascii="Arial" w:hAnsi="Arial" w:cs="Arial"/>
          <w:color w:val="800000"/>
          <w:sz w:val="20"/>
          <w:szCs w:val="20"/>
        </w:rPr>
        <w:t>[A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következő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szempontok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egy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átlagos,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alapképzési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szakra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jellemző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pontozást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tükröznek.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szakbizottságok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dönthetnek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ettől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való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eltérésről,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de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új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szempontoknak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megfeleltetésben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kell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lenni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itt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közöltekkel,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0000"/>
          <w:sz w:val="20"/>
          <w:szCs w:val="20"/>
        </w:rPr>
        <w:t>össz</w:t>
      </w:r>
      <w:proofErr w:type="spellEnd"/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pontszám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50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800000"/>
          <w:sz w:val="20"/>
          <w:szCs w:val="20"/>
        </w:rPr>
        <w:t>kell</w:t>
      </w:r>
      <w:proofErr w:type="gramEnd"/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legyen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és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ittenihez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hasonló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pontozási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útmutatót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kell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készíteni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egységesség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kedvéért.]</w:t>
      </w:r>
    </w:p>
    <w:p w:rsidR="00D6627F" w:rsidRDefault="00D6627F" w:rsidP="00D6627F">
      <w:pPr>
        <w:jc w:val="both"/>
      </w:pPr>
    </w:p>
    <w:p w:rsidR="00D6627F" w:rsidRDefault="00D6627F" w:rsidP="00D6627F">
      <w:pPr>
        <w:numPr>
          <w:ilvl w:val="0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dolgozat szerkezete, stílusa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10 pont)</w:t>
      </w:r>
    </w:p>
    <w:p w:rsidR="00D6627F" w:rsidRDefault="00D6627F" w:rsidP="00D6627F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 – 10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Szerkezetileg</w:t>
      </w:r>
      <w:r>
        <w:rPr>
          <w:rFonts w:ascii="Arial" w:eastAsia="Arial" w:hAnsi="Arial" w:cs="Arial"/>
          <w:sz w:val="20"/>
          <w:szCs w:val="20"/>
        </w:rPr>
        <w:t xml:space="preserve"> kifogástalan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logikusan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felépített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munka,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kifogástalan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hivatkozásokkal,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ábrákat,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táblázatokat,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mellékleteket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rendszerben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hibátlan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stílusú.</w:t>
      </w:r>
    </w:p>
    <w:p w:rsidR="00D6627F" w:rsidRDefault="00D6627F" w:rsidP="00D6627F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6 – 8 pont: </w:t>
      </w:r>
      <w:r>
        <w:rPr>
          <w:rFonts w:ascii="Arial" w:eastAsia="Arial" w:hAnsi="Arial" w:cs="Arial"/>
          <w:sz w:val="20"/>
          <w:szCs w:val="20"/>
        </w:rPr>
        <w:t>Szerkezetileg megfelelő munka, melynek logikája követhető, kifogástalan hivatkozásokkal, az ábrák, táblázatok, mellékletek kezelése helyenként kissé pontatlan, nyelvezete jól érthető.</w:t>
      </w:r>
    </w:p>
    <w:p w:rsidR="00D6627F" w:rsidRDefault="00D6627F" w:rsidP="00D6627F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 – 5 pont:</w:t>
      </w:r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zerkezetileg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elfogadható,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logikája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kérdéses,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hivatkozásai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esetlegesek,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ábrák,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táblázatok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helyenként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hiányosak,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forrásuk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egyértelmű,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nyelvezete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részben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problematikus.</w:t>
      </w:r>
    </w:p>
    <w:p w:rsidR="00D6627F" w:rsidRDefault="00D6627F" w:rsidP="00D6627F">
      <w:pPr>
        <w:numPr>
          <w:ilvl w:val="1"/>
          <w:numId w:val="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– 2 pont:</w:t>
      </w:r>
      <w:r>
        <w:rPr>
          <w:rFonts w:ascii="Arial" w:eastAsia="Arial" w:hAnsi="Arial" w:cs="Arial"/>
          <w:sz w:val="20"/>
          <w:szCs w:val="20"/>
        </w:rPr>
        <w:t xml:space="preserve"> A szerkezet, logikailag nehezen ismerhető fel, de még értelmezhető, alig közöl ábrákat, adatokat, azok forrása nincs jelölve, a nyelvezet hibás, nehezen érthető.</w:t>
      </w:r>
    </w:p>
    <w:p w:rsidR="00D6627F" w:rsidRDefault="00D6627F" w:rsidP="00D6627F">
      <w:pPr>
        <w:numPr>
          <w:ilvl w:val="0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Szakirodalom feldolgozása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10 pont)</w:t>
      </w:r>
    </w:p>
    <w:p w:rsidR="00D6627F" w:rsidRDefault="00D6627F" w:rsidP="00D6627F">
      <w:pPr>
        <w:numPr>
          <w:ilvl w:val="1"/>
          <w:numId w:val="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 – 10 pont: </w:t>
      </w:r>
      <w:r>
        <w:rPr>
          <w:rFonts w:ascii="Arial" w:eastAsia="Arial" w:hAnsi="Arial" w:cs="Arial"/>
          <w:sz w:val="20"/>
          <w:szCs w:val="20"/>
        </w:rPr>
        <w:t>A témában releváns hazai szakirodalom ismerete, összefoglalása</w:t>
      </w:r>
    </w:p>
    <w:p w:rsidR="00D6627F" w:rsidRDefault="00D6627F" w:rsidP="00D6627F">
      <w:pPr>
        <w:numPr>
          <w:ilvl w:val="1"/>
          <w:numId w:val="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 – 7 pont: </w:t>
      </w:r>
      <w:r>
        <w:rPr>
          <w:rFonts w:ascii="Arial" w:eastAsia="Arial" w:hAnsi="Arial" w:cs="Arial"/>
          <w:sz w:val="20"/>
          <w:szCs w:val="20"/>
        </w:rPr>
        <w:t>Néhány fontos szakirodalom ismerete, összefoglalása</w:t>
      </w:r>
    </w:p>
    <w:p w:rsidR="00D6627F" w:rsidRDefault="00D6627F" w:rsidP="00D6627F">
      <w:pPr>
        <w:numPr>
          <w:ilvl w:val="1"/>
          <w:numId w:val="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 – 4 pont: </w:t>
      </w:r>
      <w:r>
        <w:rPr>
          <w:rFonts w:ascii="Arial" w:eastAsia="Arial" w:hAnsi="Arial" w:cs="Arial"/>
          <w:sz w:val="20"/>
          <w:szCs w:val="20"/>
        </w:rPr>
        <w:t>A dolgozat saját tananyagokra, jegyzetekre épül, külső hivatkozásai ötletszerűek, alapvető művek hiányoznak.</w:t>
      </w:r>
    </w:p>
    <w:p w:rsidR="00D6627F" w:rsidRDefault="00D6627F" w:rsidP="00D6627F">
      <w:pPr>
        <w:numPr>
          <w:ilvl w:val="0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téma kidolgozásának színvonala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20 pont)</w:t>
      </w:r>
    </w:p>
    <w:p w:rsidR="00D6627F" w:rsidRDefault="00D6627F" w:rsidP="00D6627F">
      <w:pPr>
        <w:numPr>
          <w:ilvl w:val="1"/>
          <w:numId w:val="5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16 – 20 pont:</w:t>
      </w:r>
      <w:r>
        <w:rPr>
          <w:rFonts w:ascii="Arial" w:eastAsia="Arial" w:hAnsi="Arial" w:cs="Arial"/>
          <w:sz w:val="20"/>
          <w:szCs w:val="20"/>
        </w:rPr>
        <w:t xml:space="preserve"> Pontos, saját mérések, megfigyelések, alkalmas feldolgozási módszer, lényegre törő véleményalkotás és hasznosítható javaslatok. </w:t>
      </w:r>
    </w:p>
    <w:p w:rsidR="00D6627F" w:rsidRDefault="00D6627F" w:rsidP="00D6627F">
      <w:pPr>
        <w:numPr>
          <w:ilvl w:val="1"/>
          <w:numId w:val="5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 – 15 pont:</w:t>
      </w:r>
      <w:r>
        <w:rPr>
          <w:rFonts w:ascii="Arial" w:eastAsia="Arial" w:hAnsi="Arial" w:cs="Arial"/>
          <w:sz w:val="20"/>
          <w:szCs w:val="20"/>
        </w:rPr>
        <w:t xml:space="preserve"> Nem saját mérésekre, megfigyelésekre alapoz vagy a használt módszer nem a legmegfelelőbb, kisebb gond a következtetések levonásában.</w:t>
      </w:r>
    </w:p>
    <w:p w:rsidR="00D6627F" w:rsidRDefault="00D6627F" w:rsidP="00D6627F">
      <w:pPr>
        <w:numPr>
          <w:ilvl w:val="1"/>
          <w:numId w:val="5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 – 10 pont:</w:t>
      </w:r>
      <w:r>
        <w:rPr>
          <w:rFonts w:ascii="Arial" w:eastAsia="Arial" w:hAnsi="Arial" w:cs="Arial"/>
          <w:sz w:val="20"/>
          <w:szCs w:val="20"/>
        </w:rPr>
        <w:t xml:space="preserve"> Komoly hiányosság a mérési, feldolgozási módszerekben, a közölt következtetés pontatlan, a hasznosíthatósággal nem foglalkozik, de a saját munka és a témában való alapvető jártasság még felfedezhető.</w:t>
      </w:r>
    </w:p>
    <w:p w:rsidR="00D6627F" w:rsidRDefault="00D6627F" w:rsidP="00D6627F">
      <w:pPr>
        <w:numPr>
          <w:ilvl w:val="1"/>
          <w:numId w:val="5"/>
        </w:num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– 5 pont:</w:t>
      </w:r>
      <w:r>
        <w:rPr>
          <w:rFonts w:ascii="Arial" w:eastAsia="Arial" w:hAnsi="Arial" w:cs="Arial"/>
          <w:sz w:val="20"/>
          <w:szCs w:val="20"/>
        </w:rPr>
        <w:t xml:space="preserve"> Súlyos hibák, saját eredmények hiánya, csupán a korábbi munkák összefoglalása, egyéni következtetések, javaslatok teljes hiánya.</w:t>
      </w:r>
    </w:p>
    <w:p w:rsidR="00D6627F" w:rsidRDefault="00D6627F" w:rsidP="00D6627F">
      <w:pPr>
        <w:numPr>
          <w:ilvl w:val="0"/>
          <w:numId w:val="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dolgozat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gyakorlati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alkalmazhatósága </w:t>
      </w: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10 </w:t>
      </w:r>
      <w:r>
        <w:rPr>
          <w:rFonts w:ascii="Arial" w:hAnsi="Arial" w:cs="Arial"/>
          <w:b/>
          <w:bCs/>
          <w:sz w:val="20"/>
          <w:szCs w:val="20"/>
        </w:rPr>
        <w:t>pont)</w:t>
      </w:r>
    </w:p>
    <w:p w:rsidR="00D6627F" w:rsidRDefault="00D6627F" w:rsidP="00D6627F">
      <w:pPr>
        <w:numPr>
          <w:ilvl w:val="1"/>
          <w:numId w:val="6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 – 10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dolgozatban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közvetlenül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hasznosíthatók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gyakorlatban.</w:t>
      </w:r>
    </w:p>
    <w:p w:rsidR="00D6627F" w:rsidRDefault="00D6627F" w:rsidP="00D6627F">
      <w:pPr>
        <w:numPr>
          <w:ilvl w:val="1"/>
          <w:numId w:val="6"/>
        </w:num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 – 8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szakemberei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hasznosnak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találhatják,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alkalmazható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közvetlenül.</w:t>
      </w:r>
    </w:p>
    <w:p w:rsidR="00D6627F" w:rsidRDefault="00D6627F" w:rsidP="00D6627F">
      <w:pPr>
        <w:numPr>
          <w:ilvl w:val="1"/>
          <w:numId w:val="6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 4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gyakorlati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felhasználása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dolgozatból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igen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nehezen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ismerhető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fel.</w:t>
      </w:r>
    </w:p>
    <w:p w:rsidR="00D6627F" w:rsidRDefault="00D6627F" w:rsidP="00D6627F">
      <w:pPr>
        <w:snapToGrid w:val="0"/>
        <w:jc w:val="both"/>
        <w:rPr>
          <w:rFonts w:ascii="Arial" w:hAnsi="Arial" w:cs="Arial"/>
          <w:sz w:val="20"/>
          <w:szCs w:val="20"/>
        </w:rPr>
      </w:pPr>
    </w:p>
    <w:p w:rsidR="00D6627F" w:rsidRDefault="00D6627F" w:rsidP="00D6627F">
      <w:p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érdemjegy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kialakításának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módja:</w:t>
      </w:r>
    </w:p>
    <w:p w:rsidR="00D6627F" w:rsidRDefault="00D6627F" w:rsidP="00D6627F">
      <w:pPr>
        <w:numPr>
          <w:ilvl w:val="0"/>
          <w:numId w:val="7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bármelyik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fenti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részpontszám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akkor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érdemjegy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elégtelen.</w:t>
      </w:r>
    </w:p>
    <w:p w:rsidR="00D6627F" w:rsidRDefault="00D6627F" w:rsidP="00D6627F">
      <w:pPr>
        <w:numPr>
          <w:ilvl w:val="0"/>
          <w:numId w:val="7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egyik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részpont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akkor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alábbi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mérvadó:</w:t>
      </w:r>
    </w:p>
    <w:p w:rsidR="00D6627F" w:rsidRDefault="00D6627F" w:rsidP="00D6627F">
      <w:pPr>
        <w:numPr>
          <w:ilvl w:val="1"/>
          <w:numId w:val="8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jeles</w:t>
      </w:r>
    </w:p>
    <w:p w:rsidR="00D6627F" w:rsidRDefault="00D6627F" w:rsidP="00D6627F">
      <w:pPr>
        <w:numPr>
          <w:ilvl w:val="1"/>
          <w:numId w:val="8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44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jó</w:t>
      </w:r>
    </w:p>
    <w:p w:rsidR="00D6627F" w:rsidRDefault="00D6627F" w:rsidP="00D6627F">
      <w:pPr>
        <w:numPr>
          <w:ilvl w:val="1"/>
          <w:numId w:val="8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37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közepes</w:t>
      </w:r>
    </w:p>
    <w:p w:rsidR="00D6627F" w:rsidRDefault="00D6627F" w:rsidP="00D6627F">
      <w:pPr>
        <w:numPr>
          <w:ilvl w:val="1"/>
          <w:numId w:val="8"/>
        </w:numPr>
        <w:snapToGrid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elégséges</w:t>
      </w:r>
    </w:p>
    <w:p w:rsidR="00D6627F" w:rsidRDefault="00D6627F" w:rsidP="00D6627F">
      <w:pPr>
        <w:numPr>
          <w:ilvl w:val="1"/>
          <w:numId w:val="8"/>
        </w:numPr>
        <w:snapToGrid w:val="0"/>
        <w:jc w:val="both"/>
        <w:rPr>
          <w:rFonts w:ascii="Arial" w:hAnsi="Arial" w:cs="Arial"/>
          <w:i/>
          <w:iCs/>
          <w:color w:val="8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– 25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elégtelen</w:t>
      </w:r>
    </w:p>
    <w:p w:rsidR="00D6627F" w:rsidRDefault="00D6627F" w:rsidP="00D6627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D6627F" w:rsidRPr="000C07EF" w:rsidRDefault="00D6627F" w:rsidP="00D6627F">
      <w:pPr>
        <w:jc w:val="center"/>
        <w:rPr>
          <w:rFonts w:ascii="Arial" w:hAnsi="Arial" w:cs="Arial"/>
          <w:b/>
          <w:sz w:val="32"/>
        </w:rPr>
      </w:pPr>
      <w:r w:rsidRPr="000C07EF">
        <w:rPr>
          <w:rFonts w:ascii="Arial" w:hAnsi="Arial" w:cs="Arial"/>
          <w:b/>
          <w:sz w:val="32"/>
        </w:rPr>
        <w:lastRenderedPageBreak/>
        <w:t>Szakdolgozat bírálati lap</w:t>
      </w:r>
    </w:p>
    <w:p w:rsidR="00D6627F" w:rsidRDefault="00D6627F" w:rsidP="00D6627F">
      <w:pPr>
        <w:jc w:val="both"/>
        <w:rPr>
          <w:rFonts w:ascii="Arial" w:eastAsia="MOICHN+Arial-BoldItalicMT" w:hAnsi="Arial" w:cs="Arial"/>
          <w:i/>
          <w:iCs/>
          <w:color w:val="800000"/>
          <w:sz w:val="20"/>
          <w:szCs w:val="20"/>
        </w:rPr>
      </w:pPr>
    </w:p>
    <w:p w:rsidR="00D6627F" w:rsidRDefault="00D6627F" w:rsidP="00D6627F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u w:val="single"/>
        </w:rPr>
        <w:t>Hallgató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adatai</w:t>
      </w:r>
    </w:p>
    <w:p w:rsidR="00D6627F" w:rsidRPr="00A206AF" w:rsidRDefault="00D6627F" w:rsidP="00D6627F">
      <w:pPr>
        <w:tabs>
          <w:tab w:val="left" w:pos="5812"/>
        </w:tabs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Neptun-kód</w:t>
      </w:r>
      <w:proofErr w:type="spellEnd"/>
      <w:r w:rsidRPr="00A206AF">
        <w:rPr>
          <w:rFonts w:ascii="Arial" w:eastAsia="MOHJEO+ArialMT" w:hAnsi="Arial" w:cs="Arial"/>
          <w:i/>
        </w:rPr>
        <w:t>:</w:t>
      </w:r>
    </w:p>
    <w:p w:rsidR="00D6627F" w:rsidRPr="00A206AF" w:rsidRDefault="00D6627F" w:rsidP="00D6627F">
      <w:pPr>
        <w:autoSpaceDE w:val="0"/>
        <w:spacing w:before="240" w:after="36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D6627F" w:rsidRPr="00A206AF" w:rsidRDefault="00D6627F" w:rsidP="00D6627F">
      <w:pPr>
        <w:rPr>
          <w:rFonts w:ascii="Arial" w:eastAsia="Arial" w:hAnsi="Arial" w:cs="Arial"/>
          <w:szCs w:val="22"/>
        </w:rPr>
      </w:pPr>
      <w:r w:rsidRPr="00A206AF">
        <w:rPr>
          <w:rFonts w:ascii="Arial" w:hAnsi="Arial" w:cs="Arial"/>
          <w:szCs w:val="22"/>
          <w:u w:val="single"/>
        </w:rPr>
        <w:t>A</w:t>
      </w:r>
      <w:r w:rsidRPr="00A206AF">
        <w:rPr>
          <w:rFonts w:ascii="Arial" w:eastAsia="Arial" w:hAnsi="Arial" w:cs="Arial"/>
          <w:szCs w:val="22"/>
          <w:u w:val="single"/>
        </w:rPr>
        <w:t xml:space="preserve"> </w:t>
      </w:r>
      <w:r w:rsidRPr="00A206AF">
        <w:rPr>
          <w:rFonts w:ascii="Arial" w:hAnsi="Arial" w:cs="Arial"/>
          <w:szCs w:val="22"/>
          <w:u w:val="single"/>
        </w:rPr>
        <w:t>bíráló adatai:</w:t>
      </w:r>
    </w:p>
    <w:p w:rsidR="00D6627F" w:rsidRPr="00A206AF" w:rsidRDefault="00D6627F" w:rsidP="00D6627F">
      <w:pPr>
        <w:rPr>
          <w:rFonts w:ascii="Arial" w:eastAsia="Arial" w:hAnsi="Arial" w:cs="Arial"/>
          <w:i/>
          <w:szCs w:val="22"/>
        </w:rPr>
      </w:pPr>
      <w:r w:rsidRPr="00A206AF">
        <w:rPr>
          <w:rFonts w:ascii="Arial" w:hAnsi="Arial" w:cs="Arial"/>
          <w:i/>
          <w:szCs w:val="22"/>
        </w:rPr>
        <w:t>Név:</w:t>
      </w:r>
      <w:r w:rsidRPr="00A206AF">
        <w:rPr>
          <w:rFonts w:ascii="Arial" w:eastAsia="Arial" w:hAnsi="Arial" w:cs="Arial"/>
          <w:i/>
          <w:szCs w:val="22"/>
        </w:rPr>
        <w:t xml:space="preserve"> </w:t>
      </w:r>
    </w:p>
    <w:p w:rsidR="00D6627F" w:rsidRPr="00A206AF" w:rsidRDefault="00D6627F" w:rsidP="00D6627F">
      <w:pPr>
        <w:rPr>
          <w:rFonts w:ascii="Arial" w:eastAsia="Arial" w:hAnsi="Arial" w:cs="Arial"/>
          <w:i/>
          <w:color w:val="000000"/>
          <w:szCs w:val="22"/>
        </w:rPr>
      </w:pPr>
      <w:r w:rsidRPr="00A206AF">
        <w:rPr>
          <w:rFonts w:ascii="Arial" w:hAnsi="Arial" w:cs="Arial"/>
          <w:i/>
          <w:szCs w:val="22"/>
        </w:rPr>
        <w:t>Munkahely:</w:t>
      </w:r>
    </w:p>
    <w:p w:rsidR="00D6627F" w:rsidRPr="00774C13" w:rsidRDefault="00D6627F" w:rsidP="00D6627F">
      <w:pPr>
        <w:rPr>
          <w:rFonts w:ascii="Arial" w:eastAsia="MOHJEO+ArialMT" w:hAnsi="Arial" w:cs="Arial"/>
          <w:i/>
        </w:rPr>
      </w:pPr>
      <w:r w:rsidRPr="00A206AF">
        <w:rPr>
          <w:rFonts w:ascii="Arial" w:eastAsia="Arial" w:hAnsi="Arial" w:cs="Arial"/>
          <w:i/>
          <w:color w:val="000000"/>
          <w:szCs w:val="22"/>
        </w:rPr>
        <w:t>Beosztás:</w:t>
      </w: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b/>
          <w:bCs/>
        </w:rPr>
      </w:pPr>
      <w:r>
        <w:rPr>
          <w:rFonts w:ascii="Arial" w:eastAsia="MOHJEO+ArialMT" w:hAnsi="Arial" w:cs="Arial"/>
        </w:rPr>
        <w:t>A szempontokra adott pontszámok és indoklásuk:</w:t>
      </w:r>
    </w:p>
    <w:tbl>
      <w:tblPr>
        <w:tblW w:w="10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3"/>
        <w:gridCol w:w="917"/>
      </w:tblGrid>
      <w:tr w:rsidR="00D6627F" w:rsidTr="00B8495A">
        <w:trPr>
          <w:jc w:val="center"/>
        </w:trPr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27F" w:rsidRDefault="00D6627F" w:rsidP="00B8495A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>1. A dolgozat szerkezete, stílusa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>. 10 pont)</w:t>
            </w:r>
          </w:p>
          <w:p w:rsidR="00D6627F" w:rsidRDefault="00D6627F" w:rsidP="00B8495A">
            <w:pPr>
              <w:rPr>
                <w:color w:val="800000"/>
              </w:rPr>
            </w:pPr>
            <w:r>
              <w:rPr>
                <w:color w:val="800000"/>
              </w:rPr>
              <w:t>[indoklás]</w:t>
            </w:r>
          </w:p>
          <w:p w:rsidR="00D6627F" w:rsidRDefault="00D6627F" w:rsidP="00B8495A">
            <w:pPr>
              <w:rPr>
                <w:b/>
                <w:bCs/>
              </w:rPr>
            </w:pPr>
          </w:p>
          <w:p w:rsidR="00D6627F" w:rsidRDefault="00D6627F" w:rsidP="00B8495A">
            <w:pPr>
              <w:rPr>
                <w:b/>
                <w:bCs/>
              </w:rPr>
            </w:pPr>
          </w:p>
          <w:p w:rsidR="00D6627F" w:rsidRDefault="00D6627F" w:rsidP="00B8495A">
            <w:pPr>
              <w:rPr>
                <w:b/>
                <w:bCs/>
              </w:rPr>
            </w:pPr>
          </w:p>
          <w:p w:rsidR="00D6627F" w:rsidRDefault="00D6627F" w:rsidP="00B8495A">
            <w:pPr>
              <w:rPr>
                <w:b/>
                <w:bCs/>
              </w:rPr>
            </w:pPr>
          </w:p>
          <w:p w:rsidR="00D6627F" w:rsidRDefault="00D6627F" w:rsidP="00B8495A">
            <w:pPr>
              <w:jc w:val="both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627F" w:rsidRPr="00774C13" w:rsidRDefault="00D6627F" w:rsidP="00B8495A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D6627F" w:rsidTr="00B8495A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27F" w:rsidRDefault="00D6627F" w:rsidP="00B8495A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Szakirodalom feldolgozása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10 pont)</w:t>
            </w:r>
          </w:p>
          <w:p w:rsidR="00D6627F" w:rsidRDefault="00D6627F" w:rsidP="00B8495A">
            <w:pPr>
              <w:jc w:val="both"/>
              <w:rPr>
                <w:color w:val="800000"/>
              </w:rPr>
            </w:pPr>
            <w:r>
              <w:rPr>
                <w:color w:val="800000"/>
              </w:rPr>
              <w:t>[indoklás]</w:t>
            </w: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627F" w:rsidRPr="00774C13" w:rsidRDefault="00D6627F" w:rsidP="00B8495A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D6627F" w:rsidTr="00B8495A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27F" w:rsidRDefault="00D6627F" w:rsidP="00B8495A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téma kidolgozásának színvonala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20 pont)</w:t>
            </w:r>
          </w:p>
          <w:p w:rsidR="00D6627F" w:rsidRDefault="00D6627F" w:rsidP="00B8495A">
            <w:pPr>
              <w:jc w:val="both"/>
              <w:rPr>
                <w:color w:val="800000"/>
              </w:rPr>
            </w:pPr>
            <w:r>
              <w:rPr>
                <w:color w:val="800000"/>
              </w:rPr>
              <w:t>[indoklás]</w:t>
            </w: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627F" w:rsidRPr="00774C13" w:rsidRDefault="00D6627F" w:rsidP="00B8495A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D6627F" w:rsidTr="00B8495A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27F" w:rsidRDefault="00D6627F" w:rsidP="00B8495A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dolgozat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gyakorlati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alkalmazhatósága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pont)</w:t>
            </w:r>
          </w:p>
          <w:p w:rsidR="00D6627F" w:rsidRDefault="00D6627F" w:rsidP="00B8495A">
            <w:pPr>
              <w:jc w:val="both"/>
              <w:rPr>
                <w:color w:val="800000"/>
              </w:rPr>
            </w:pPr>
            <w:r>
              <w:rPr>
                <w:color w:val="800000"/>
              </w:rPr>
              <w:t>[indoklás]</w:t>
            </w: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  <w:p w:rsidR="00D6627F" w:rsidRDefault="00D6627F" w:rsidP="00B8495A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6627F" w:rsidRPr="00774C13" w:rsidRDefault="00D6627F" w:rsidP="00B8495A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D6627F" w:rsidTr="00B8495A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27F" w:rsidRDefault="00D6627F" w:rsidP="00B8495A">
            <w:pPr>
              <w:pStyle w:val="Tblzattartalom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ÖSSZPONTSZÁM: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27F" w:rsidRPr="00774C13" w:rsidRDefault="00D6627F" w:rsidP="00B8495A">
            <w:pPr>
              <w:pStyle w:val="Tblzattartalom"/>
              <w:jc w:val="center"/>
              <w:rPr>
                <w:b/>
                <w:sz w:val="28"/>
              </w:rPr>
            </w:pPr>
          </w:p>
        </w:tc>
      </w:tr>
    </w:tbl>
    <w:p w:rsidR="00D6627F" w:rsidRDefault="00D6627F" w:rsidP="00D6627F">
      <w:pPr>
        <w:autoSpaceDE w:val="0"/>
        <w:jc w:val="both"/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  <w:b/>
          <w:bCs/>
        </w:rPr>
      </w:pPr>
      <w:r>
        <w:rPr>
          <w:rFonts w:ascii="Arial" w:eastAsia="MOHJEO+ArialMT" w:hAnsi="Arial" w:cs="Arial"/>
          <w:b/>
          <w:bCs/>
        </w:rPr>
        <w:br w:type="page"/>
      </w:r>
    </w:p>
    <w:p w:rsidR="00D6627F" w:rsidRPr="00A206AF" w:rsidRDefault="00D6627F" w:rsidP="00D6627F">
      <w:pPr>
        <w:autoSpaceDE w:val="0"/>
        <w:jc w:val="both"/>
        <w:rPr>
          <w:rFonts w:ascii="Arial" w:eastAsia="MOHJEO+ArialMT" w:hAnsi="Arial" w:cs="Arial"/>
          <w:b/>
          <w:bCs/>
          <w:color w:val="800000"/>
        </w:rPr>
      </w:pPr>
      <w:r>
        <w:rPr>
          <w:rFonts w:ascii="Arial" w:eastAsia="MOHJEO+ArialMT" w:hAnsi="Arial" w:cs="Arial"/>
          <w:b/>
          <w:bCs/>
        </w:rPr>
        <w:lastRenderedPageBreak/>
        <w:t xml:space="preserve">Általános megjegyzések: </w:t>
      </w:r>
      <w:r w:rsidRPr="00A206AF">
        <w:rPr>
          <w:rFonts w:ascii="Arial" w:eastAsia="MOHJEO+ArialMT" w:hAnsi="Arial" w:cs="Arial"/>
          <w:b/>
          <w:bCs/>
          <w:color w:val="800000"/>
        </w:rPr>
        <w:t>[kötelezően kitöltendő, minimum 10 sor]</w:t>
      </w: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  <w:color w:val="800000"/>
        </w:rPr>
      </w:pPr>
      <w:r>
        <w:rPr>
          <w:rFonts w:ascii="Arial" w:eastAsia="MOHJEO+ArialMT" w:hAnsi="Arial" w:cs="Arial"/>
          <w:b/>
          <w:bCs/>
        </w:rPr>
        <w:t>Kérdések:</w:t>
      </w:r>
      <w:r w:rsidRPr="00774C13">
        <w:rPr>
          <w:rFonts w:ascii="Arial" w:eastAsia="MOHJEO+ArialMT" w:hAnsi="Arial" w:cs="Arial"/>
          <w:b/>
          <w:bCs/>
          <w:color w:val="800000"/>
        </w:rPr>
        <w:t xml:space="preserve"> </w:t>
      </w:r>
      <w:r>
        <w:rPr>
          <w:rFonts w:ascii="Arial" w:eastAsia="MOHJEO+ArialMT" w:hAnsi="Arial" w:cs="Arial"/>
          <w:b/>
          <w:bCs/>
          <w:color w:val="800000"/>
        </w:rPr>
        <w:t>[minimum 3 db]</w:t>
      </w: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1.</w:t>
      </w:r>
      <w:r>
        <w:rPr>
          <w:rFonts w:ascii="Arial" w:eastAsia="MOHJEO+ArialMT" w:hAnsi="Arial" w:cs="Arial"/>
        </w:rPr>
        <w:t xml:space="preserve"> </w:t>
      </w: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2.</w:t>
      </w:r>
      <w:r>
        <w:rPr>
          <w:rFonts w:ascii="Arial" w:eastAsia="MOHJEO+ArialMT" w:hAnsi="Arial" w:cs="Arial"/>
        </w:rPr>
        <w:t xml:space="preserve"> </w:t>
      </w: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3.</w:t>
      </w:r>
      <w:r>
        <w:rPr>
          <w:rFonts w:ascii="Arial" w:eastAsia="MOHJEO+ArialMT" w:hAnsi="Arial" w:cs="Arial"/>
        </w:rPr>
        <w:t xml:space="preserve"> </w:t>
      </w: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autoSpaceDE w:val="0"/>
        <w:jc w:val="center"/>
        <w:rPr>
          <w:rFonts w:ascii="Arial" w:eastAsia="MOHJEO+ArialMT" w:hAnsi="Arial" w:cs="Arial"/>
        </w:rPr>
      </w:pPr>
      <w:r>
        <w:rPr>
          <w:rFonts w:ascii="Arial" w:eastAsia="MOHJEO+ArialMT" w:hAnsi="Arial" w:cs="Arial"/>
          <w:b/>
          <w:bCs/>
        </w:rPr>
        <w:t xml:space="preserve">Javasolt érdemjegy: </w:t>
      </w:r>
      <w:r>
        <w:rPr>
          <w:rFonts w:ascii="Arial" w:eastAsia="MOHJEO+ArialMT" w:hAnsi="Arial" w:cs="Arial"/>
          <w:b/>
          <w:bCs/>
          <w:color w:val="800000"/>
        </w:rPr>
        <w:t>[jeles / jó / közepes / elégséges / elégtelen]</w:t>
      </w:r>
    </w:p>
    <w:p w:rsidR="00D6627F" w:rsidRDefault="00D6627F" w:rsidP="00D6627F">
      <w:pPr>
        <w:autoSpaceDE w:val="0"/>
        <w:jc w:val="both"/>
        <w:rPr>
          <w:rFonts w:ascii="Arial" w:eastAsia="MOHJEO+ArialMT" w:hAnsi="Arial" w:cs="Arial"/>
        </w:rPr>
      </w:pPr>
    </w:p>
    <w:p w:rsidR="00D6627F" w:rsidRDefault="00D6627F" w:rsidP="00D6627F">
      <w:pPr>
        <w:jc w:val="both"/>
        <w:rPr>
          <w:rFonts w:ascii="Arial" w:eastAsia="Arial" w:hAnsi="Arial" w:cs="Arial"/>
          <w:color w:val="800000"/>
        </w:rPr>
      </w:pPr>
      <w:r>
        <w:rPr>
          <w:rFonts w:ascii="Arial" w:hAnsi="Arial" w:cs="Arial"/>
          <w:color w:val="800000"/>
        </w:rPr>
        <w:t>[hely],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0000"/>
        </w:rPr>
        <w:t>[dátum]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79"/>
        <w:gridCol w:w="1921"/>
        <w:gridCol w:w="3225"/>
        <w:gridCol w:w="735"/>
      </w:tblGrid>
      <w:tr w:rsidR="00D6627F" w:rsidTr="00B8495A">
        <w:tc>
          <w:tcPr>
            <w:tcW w:w="885" w:type="dxa"/>
            <w:shd w:val="clear" w:color="auto" w:fill="auto"/>
          </w:tcPr>
          <w:p w:rsidR="00D6627F" w:rsidRDefault="00D6627F" w:rsidP="00B8495A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D6627F" w:rsidRDefault="00D6627F" w:rsidP="00B8495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D6627F" w:rsidRDefault="00D6627F" w:rsidP="00B8495A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D6627F" w:rsidRDefault="00D6627F" w:rsidP="00B8495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D6627F" w:rsidRDefault="00D6627F" w:rsidP="00B8495A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D6627F" w:rsidTr="00B8495A">
        <w:tc>
          <w:tcPr>
            <w:tcW w:w="885" w:type="dxa"/>
            <w:shd w:val="clear" w:color="auto" w:fill="auto"/>
          </w:tcPr>
          <w:p w:rsidR="00D6627F" w:rsidRDefault="00D6627F" w:rsidP="00B8495A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D6627F" w:rsidRDefault="00D6627F" w:rsidP="00B8495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D6627F" w:rsidRDefault="00D6627F" w:rsidP="00B8495A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D6627F" w:rsidRDefault="00D6627F" w:rsidP="00B8495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[bíráló aláírása]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6627F" w:rsidRDefault="00D6627F" w:rsidP="00B8495A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</w:tbl>
    <w:p w:rsidR="00D6627F" w:rsidRDefault="00D6627F" w:rsidP="00D6627F">
      <w:pPr>
        <w:snapToGrid w:val="0"/>
      </w:pPr>
    </w:p>
    <w:p w:rsidR="00911D70" w:rsidRDefault="00821C20"/>
    <w:sectPr w:rsidR="0091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pStyle w:val="Cmso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7F"/>
    <w:rsid w:val="004E30A6"/>
    <w:rsid w:val="00821C20"/>
    <w:rsid w:val="00B76F0E"/>
    <w:rsid w:val="00D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DF9B-BB91-4F1E-90A4-C44730B8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627F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D6627F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6627F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D6627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6627F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6627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Zseniani</dc:creator>
  <cp:keywords/>
  <dc:description/>
  <cp:lastModifiedBy>Puskás Ferenc</cp:lastModifiedBy>
  <cp:revision>2</cp:revision>
  <dcterms:created xsi:type="dcterms:W3CDTF">2015-12-02T19:46:00Z</dcterms:created>
  <dcterms:modified xsi:type="dcterms:W3CDTF">2015-12-02T19:46:00Z</dcterms:modified>
</cp:coreProperties>
</file>